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5BBD5" w14:textId="77777777" w:rsidR="00E141CC" w:rsidRPr="00E141CC" w:rsidRDefault="00E141CC" w:rsidP="00E141CC">
      <w:pPr>
        <w:spacing w:after="180"/>
        <w:outlineLvl w:val="0"/>
        <w:rPr>
          <w:rFonts w:ascii="Source Sans Pro" w:eastAsia="Times New Roman" w:hAnsi="Source Sans Pro" w:cs="Times New Roman"/>
          <w:b/>
          <w:bCs/>
          <w:color w:val="4D3069"/>
          <w:kern w:val="36"/>
          <w:sz w:val="48"/>
          <w:szCs w:val="48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36"/>
          <w:sz w:val="48"/>
          <w:szCs w:val="48"/>
          <w:lang w:eastAsia="en-GB"/>
          <w14:ligatures w14:val="none"/>
        </w:rPr>
        <w:t>DDBB.NO – UI Design Demonstration</w:t>
      </w:r>
    </w:p>
    <w:p w14:paraId="48A3B44B" w14:textId="77777777" w:rsidR="00E141CC" w:rsidRPr="00E141CC" w:rsidRDefault="00E141CC" w:rsidP="00E141CC">
      <w:pPr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This page demonstrates the core design system for DDBB.NO (technical due diligence for used residential property in Norway): colors, typography, buttons, panels and simple risk indicators.</w:t>
      </w:r>
    </w:p>
    <w:p w14:paraId="4B4879E3" w14:textId="77777777" w:rsidR="00E141CC" w:rsidRPr="00E141CC" w:rsidRDefault="00E141CC" w:rsidP="00E141CC">
      <w:pPr>
        <w:spacing w:after="180"/>
        <w:rPr>
          <w:rFonts w:ascii="Times New Roman" w:eastAsia="Times New Roman" w:hAnsi="Times New Roman" w:cs="Times New Roman"/>
          <w:caps/>
          <w:color w:val="666666"/>
          <w:spacing w:val="14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caps/>
          <w:color w:val="666666"/>
          <w:spacing w:val="14"/>
          <w:kern w:val="0"/>
          <w:sz w:val="18"/>
          <w:szCs w:val="18"/>
          <w:lang w:eastAsia="en-GB"/>
          <w14:ligatures w14:val="none"/>
        </w:rPr>
        <w:t>Design tokens  •  HTML + CSS only  •  RICS-inspired style</w:t>
      </w:r>
    </w:p>
    <w:p w14:paraId="3678CEBC" w14:textId="77777777" w:rsidR="00E141CC" w:rsidRPr="00E141CC" w:rsidRDefault="00E141CC" w:rsidP="00E141CC">
      <w:pPr>
        <w:spacing w:before="600" w:after="120"/>
        <w:outlineLvl w:val="1"/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  <w:t>Typography</w:t>
      </w:r>
    </w:p>
    <w:p w14:paraId="539FD0E5" w14:textId="77777777" w:rsidR="00E141CC" w:rsidRPr="00E141CC" w:rsidRDefault="00E141CC" w:rsidP="00E141CC">
      <w:pPr>
        <w:spacing w:before="360" w:after="90"/>
        <w:outlineLvl w:val="2"/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  <w:t>Heading hierarchy</w:t>
      </w:r>
    </w:p>
    <w:p w14:paraId="351DCFC9" w14:textId="77777777" w:rsidR="00E141CC" w:rsidRPr="00E141CC" w:rsidRDefault="00E141CC" w:rsidP="00E141CC">
      <w:pPr>
        <w:shd w:val="clear" w:color="auto" w:fill="FFFFFF"/>
        <w:spacing w:after="180"/>
        <w:outlineLvl w:val="0"/>
        <w:rPr>
          <w:rFonts w:ascii="Source Sans Pro" w:eastAsia="Times New Roman" w:hAnsi="Source Sans Pro" w:cs="Times New Roman"/>
          <w:b/>
          <w:bCs/>
          <w:color w:val="4D3069"/>
          <w:kern w:val="36"/>
          <w:sz w:val="48"/>
          <w:szCs w:val="48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36"/>
          <w:sz w:val="48"/>
          <w:szCs w:val="48"/>
          <w:lang w:eastAsia="en-GB"/>
          <w14:ligatures w14:val="none"/>
        </w:rPr>
        <w:t>H1 – Property Due Diligence Report</w:t>
      </w:r>
    </w:p>
    <w:p w14:paraId="53B92FC1" w14:textId="77777777" w:rsidR="00E141CC" w:rsidRPr="00E141CC" w:rsidRDefault="00E141CC" w:rsidP="00E141CC">
      <w:pPr>
        <w:shd w:val="clear" w:color="auto" w:fill="FFFFFF"/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Used for main page or report titles. Size 32px, weight 700, primary purple color.</w:t>
      </w:r>
    </w:p>
    <w:p w14:paraId="0269E1DF" w14:textId="77777777" w:rsidR="00E141CC" w:rsidRPr="00E141CC" w:rsidRDefault="00E141CC" w:rsidP="00E141CC">
      <w:pPr>
        <w:shd w:val="clear" w:color="auto" w:fill="FFFFFF"/>
        <w:spacing w:before="600" w:after="120"/>
        <w:outlineLvl w:val="1"/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  <w:t>H2 – Executive Summary</w:t>
      </w:r>
    </w:p>
    <w:p w14:paraId="330AEAEC" w14:textId="77777777" w:rsidR="00E141CC" w:rsidRPr="00E141CC" w:rsidRDefault="00E141CC" w:rsidP="00E141CC">
      <w:pPr>
        <w:shd w:val="clear" w:color="auto" w:fill="FFFFFF"/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Used for top-level sections. Size 24px, weight 600.</w:t>
      </w:r>
    </w:p>
    <w:p w14:paraId="44E34171" w14:textId="77777777" w:rsidR="00E141CC" w:rsidRPr="00E141CC" w:rsidRDefault="00E141CC" w:rsidP="00E141CC">
      <w:pPr>
        <w:shd w:val="clear" w:color="auto" w:fill="FFFFFF"/>
        <w:spacing w:before="360" w:after="90"/>
        <w:outlineLvl w:val="2"/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  <w:t>H3 – Building Fabric</w:t>
      </w:r>
    </w:p>
    <w:p w14:paraId="5D52777F" w14:textId="77777777" w:rsidR="00E141CC" w:rsidRPr="00E141CC" w:rsidRDefault="00E141CC" w:rsidP="00E141CC">
      <w:pPr>
        <w:shd w:val="clear" w:color="auto" w:fill="FFFFFF"/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Used for sub-sections (e.g. roof, façade, services). Size 20px, weight 600, dark text color.</w:t>
      </w:r>
    </w:p>
    <w:p w14:paraId="3FBF2F1C" w14:textId="77777777" w:rsidR="00E141CC" w:rsidRPr="00E141CC" w:rsidRDefault="00E141CC" w:rsidP="00E141CC">
      <w:pPr>
        <w:spacing w:before="360" w:after="90"/>
        <w:outlineLvl w:val="2"/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  <w:t>Body text &amp; details</w:t>
      </w:r>
    </w:p>
    <w:p w14:paraId="247F1533" w14:textId="77777777" w:rsidR="00E141CC" w:rsidRPr="00E141CC" w:rsidRDefault="00E141CC" w:rsidP="00E141CC">
      <w:pPr>
        <w:shd w:val="clear" w:color="auto" w:fill="FFFFFF"/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This is standard body text (16px, line-height 1.5, color 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#333E48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). It is intended for clear, concise technical descriptions that can be reused in both web content and PDF reports.</w:t>
      </w:r>
    </w:p>
    <w:p w14:paraId="3A5CF8B4" w14:textId="77777777" w:rsidR="00E141CC" w:rsidRPr="00E141CC" w:rsidRDefault="00E141CC" w:rsidP="00E141CC">
      <w:pPr>
        <w:shd w:val="clear" w:color="auto" w:fill="FFFFFF"/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Small explanatory text and labels use a slightly lighter color and smaller font size: </w:t>
      </w:r>
      <w:r w:rsidRPr="00E141CC">
        <w:rPr>
          <w:rFonts w:ascii="Times New Roman" w:eastAsia="Times New Roman" w:hAnsi="Times New Roman" w:cs="Times New Roman"/>
          <w:color w:val="666666"/>
          <w:kern w:val="0"/>
          <w:sz w:val="20"/>
          <w:szCs w:val="20"/>
          <w:lang w:eastAsia="en-GB"/>
          <w14:ligatures w14:val="none"/>
        </w:rPr>
        <w:t>for example this sentence, which might be used for notes, legal caveats or methodology comments.</w:t>
      </w:r>
    </w:p>
    <w:p w14:paraId="1BBDED8E" w14:textId="77777777" w:rsidR="00E141CC" w:rsidRPr="00E141CC" w:rsidRDefault="00E141CC" w:rsidP="00E141CC">
      <w:pPr>
        <w:spacing w:before="600" w:after="120"/>
        <w:outlineLvl w:val="1"/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  <w:t>Color palette</w:t>
      </w:r>
    </w:p>
    <w:p w14:paraId="604F2418" w14:textId="77777777" w:rsidR="00E141CC" w:rsidRPr="00E141CC" w:rsidRDefault="00E141CC" w:rsidP="00E141CC">
      <w:pPr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Primary and secondary colors for DDBB.NO, including RAG risk colors for technical due diligence findings.</w:t>
      </w:r>
    </w:p>
    <w:p w14:paraId="57289FCF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Primary Purple</w:t>
      </w:r>
    </w:p>
    <w:p w14:paraId="4C87A20A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#4D3069</w:t>
      </w:r>
    </w:p>
    <w:p w14:paraId="0A602B4F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Headings, key accents, primary buttons.</w:t>
      </w:r>
    </w:p>
    <w:p w14:paraId="266A28BA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Primary Dark</w:t>
      </w:r>
    </w:p>
    <w:p w14:paraId="51A935CB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#330066</w:t>
      </w:r>
    </w:p>
    <w:p w14:paraId="63819EDC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Hover state for buttons, strong highlights.</w:t>
      </w:r>
    </w:p>
    <w:p w14:paraId="7EB85042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Text Color</w:t>
      </w:r>
    </w:p>
    <w:p w14:paraId="7FEBFB38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lastRenderedPageBreak/>
        <w:t>#333E48</w:t>
      </w:r>
    </w:p>
    <w:p w14:paraId="1B118E4E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Body text and core information.</w:t>
      </w:r>
    </w:p>
    <w:p w14:paraId="0B8CFCAA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Soft Background</w:t>
      </w:r>
    </w:p>
    <w:p w14:paraId="3AC5AD52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#F5F7F8</w:t>
      </w:r>
    </w:p>
    <w:p w14:paraId="4C96F908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Panels, cards and soft sections.</w:t>
      </w:r>
    </w:p>
    <w:p w14:paraId="56DC845E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Burgundy</w:t>
      </w:r>
    </w:p>
    <w:p w14:paraId="64CEE988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#7C2348</w:t>
      </w:r>
    </w:p>
    <w:p w14:paraId="70E1E902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Warnings, high-impact notes.</w:t>
      </w:r>
    </w:p>
    <w:p w14:paraId="25B4F36E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Orange</w:t>
      </w:r>
    </w:p>
    <w:p w14:paraId="29EB869F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#E37222</w:t>
      </w:r>
    </w:p>
    <w:p w14:paraId="4B985C6D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Important callouts, icons, charts.</w:t>
      </w:r>
    </w:p>
    <w:p w14:paraId="2F1E9332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Green</w:t>
      </w:r>
    </w:p>
    <w:p w14:paraId="4301B796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#2E7D32</w:t>
      </w:r>
    </w:p>
    <w:p w14:paraId="33ECC7D7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Positive / acceptable conditions.</w:t>
      </w:r>
    </w:p>
    <w:p w14:paraId="1DBB4E7C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Risk – High</w:t>
      </w:r>
    </w:p>
    <w:p w14:paraId="35BEBA8C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#C62828</w:t>
      </w:r>
    </w:p>
    <w:p w14:paraId="71075BFB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Serious issues requiring immediate action.</w:t>
      </w:r>
    </w:p>
    <w:p w14:paraId="4260A531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Risk – Medium</w:t>
      </w:r>
    </w:p>
    <w:p w14:paraId="10AE3021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#F9A825</w:t>
      </w:r>
    </w:p>
    <w:p w14:paraId="057927FA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Issues to be managed in short/medium term.</w:t>
      </w:r>
    </w:p>
    <w:p w14:paraId="13FF47F6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en-GB"/>
          <w14:ligatures w14:val="none"/>
        </w:rPr>
        <w:t>Risk – Low</w:t>
      </w:r>
    </w:p>
    <w:p w14:paraId="43786D4D" w14:textId="77777777" w:rsidR="00E141CC" w:rsidRPr="00E141CC" w:rsidRDefault="00E141CC" w:rsidP="00E141CC">
      <w:pPr>
        <w:shd w:val="clear" w:color="auto" w:fill="FFFFFF"/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</w:pPr>
      <w:r w:rsidRPr="00E141CC">
        <w:rPr>
          <w:rFonts w:ascii="Menlo" w:eastAsia="Times New Roman" w:hAnsi="Menlo" w:cs="Menlo"/>
          <w:kern w:val="0"/>
          <w:sz w:val="18"/>
          <w:szCs w:val="18"/>
          <w:lang w:eastAsia="en-GB"/>
          <w14:ligatures w14:val="none"/>
        </w:rPr>
        <w:t>#2E7D32</w:t>
      </w:r>
    </w:p>
    <w:p w14:paraId="7E060101" w14:textId="77777777" w:rsidR="00E141CC" w:rsidRPr="00E141CC" w:rsidRDefault="00E141CC" w:rsidP="00E141CC">
      <w:pPr>
        <w:shd w:val="clear" w:color="auto" w:fill="FFFFFF"/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sz w:val="20"/>
          <w:szCs w:val="20"/>
          <w:lang w:eastAsia="en-GB"/>
          <w14:ligatures w14:val="none"/>
        </w:rPr>
        <w:t>Minor issues or acceptable condition.</w:t>
      </w:r>
    </w:p>
    <w:p w14:paraId="476181FE" w14:textId="77777777" w:rsidR="00E141CC" w:rsidRPr="00E141CC" w:rsidRDefault="00E141CC" w:rsidP="00E141CC">
      <w:pPr>
        <w:spacing w:before="600" w:after="120"/>
        <w:outlineLvl w:val="1"/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  <w:t>Core components</w:t>
      </w:r>
    </w:p>
    <w:p w14:paraId="02C4C611" w14:textId="77777777" w:rsidR="00E141CC" w:rsidRPr="00E141CC" w:rsidRDefault="00E141CC" w:rsidP="00E141CC">
      <w:pPr>
        <w:spacing w:before="360" w:after="90"/>
        <w:outlineLvl w:val="2"/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  <w:t>Panel: report summary</w:t>
      </w:r>
    </w:p>
    <w:p w14:paraId="51EF3704" w14:textId="77777777" w:rsidR="00E141CC" w:rsidRPr="00E141CC" w:rsidRDefault="00E141CC" w:rsidP="00E141CC">
      <w:pPr>
        <w:shd w:val="clear" w:color="auto" w:fill="F5F7F8"/>
        <w:rPr>
          <w:rFonts w:ascii="Times New Roman" w:eastAsia="Times New Roman" w:hAnsi="Times New Roman" w:cs="Times New Roman"/>
          <w:color w:val="666666"/>
          <w:kern w:val="0"/>
          <w:sz w:val="20"/>
          <w:szCs w:val="2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color w:val="666666"/>
          <w:kern w:val="0"/>
          <w:sz w:val="20"/>
          <w:szCs w:val="20"/>
          <w:lang w:eastAsia="en-GB"/>
          <w14:ligatures w14:val="none"/>
        </w:rPr>
        <w:t>Example component</w:t>
      </w:r>
    </w:p>
    <w:p w14:paraId="611E812D" w14:textId="77777777" w:rsidR="00E141CC" w:rsidRPr="00E141CC" w:rsidRDefault="00E141CC" w:rsidP="00E141CC">
      <w:pPr>
        <w:shd w:val="clear" w:color="auto" w:fill="F5F7F8"/>
        <w:spacing w:after="90"/>
        <w:outlineLvl w:val="3"/>
        <w:rPr>
          <w:rFonts w:ascii="Source Sans Pro" w:eastAsia="Times New Roman" w:hAnsi="Source Sans Pro" w:cs="Times New Roman"/>
          <w:b/>
          <w:bCs/>
          <w:color w:val="4D3069"/>
          <w:kern w:val="0"/>
          <w:sz w:val="27"/>
          <w:szCs w:val="27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0"/>
          <w:sz w:val="27"/>
          <w:szCs w:val="27"/>
          <w:lang w:eastAsia="en-GB"/>
          <w14:ligatures w14:val="none"/>
        </w:rPr>
        <w:t>Technical Due Diligence – Summary</w:t>
      </w:r>
    </w:p>
    <w:p w14:paraId="6A4E7B54" w14:textId="77777777" w:rsidR="00E141CC" w:rsidRPr="00E141CC" w:rsidRDefault="00E141CC" w:rsidP="00E141CC">
      <w:pPr>
        <w:shd w:val="clear" w:color="auto" w:fill="F5F7F8"/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This panel format can be reused for short summaries, disclaimers or key findings in a due diligence report. It uses a soft grey background, 1px border and subtle rounding.</w:t>
      </w:r>
    </w:p>
    <w:p w14:paraId="5FDE3981" w14:textId="77777777" w:rsidR="00E141CC" w:rsidRPr="00E141CC" w:rsidRDefault="00E141CC" w:rsidP="00E141CC">
      <w:pPr>
        <w:shd w:val="clear" w:color="auto" w:fill="F5F7F8"/>
        <w:spacing w:after="180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Overall risk classification: </w:t>
      </w:r>
      <w:r w:rsidRPr="00E141CC">
        <w:rPr>
          <w:rFonts w:ascii="Times New Roman" w:eastAsia="Times New Roman" w:hAnsi="Times New Roman" w:cs="Times New Roman"/>
          <w:b/>
          <w:bCs/>
          <w:color w:val="000000"/>
          <w:spacing w:val="5"/>
          <w:kern w:val="0"/>
          <w:sz w:val="18"/>
          <w:szCs w:val="18"/>
          <w:shd w:val="clear" w:color="auto" w:fill="F9A825"/>
          <w:lang w:eastAsia="en-GB"/>
          <w14:ligatures w14:val="none"/>
        </w:rPr>
        <w:t>MEDIUM</w:t>
      </w:r>
    </w:p>
    <w:p w14:paraId="6B50EA98" w14:textId="77777777" w:rsidR="00E141CC" w:rsidRPr="00E141CC" w:rsidRDefault="00E141CC" w:rsidP="00E141CC">
      <w:pPr>
        <w:shd w:val="clear" w:color="auto" w:fill="F5F7F8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hyperlink w:history="1">
        <w:r w:rsidRPr="00E141CC">
          <w:rPr>
            <w:rFonts w:ascii="Times New Roman" w:eastAsia="Times New Roman" w:hAnsi="Times New Roman" w:cs="Times New Roman"/>
            <w:b/>
            <w:bCs/>
            <w:color w:val="FFFFFF"/>
            <w:kern w:val="0"/>
            <w:sz w:val="23"/>
            <w:szCs w:val="23"/>
            <w:u w:val="single"/>
            <w:bdr w:val="none" w:sz="0" w:space="0" w:color="auto" w:frame="1"/>
            <w:shd w:val="clear" w:color="auto" w:fill="4D3069"/>
            <w:lang w:eastAsia="en-GB"/>
            <w14:ligatures w14:val="none"/>
          </w:rPr>
          <w:t>View full DDBB report</w:t>
        </w:r>
      </w:hyperlink>
    </w:p>
    <w:p w14:paraId="1A44B62B" w14:textId="77777777" w:rsidR="00E141CC" w:rsidRPr="00E141CC" w:rsidRDefault="00E141CC" w:rsidP="00E141CC">
      <w:pPr>
        <w:spacing w:before="360" w:after="90"/>
        <w:outlineLvl w:val="2"/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333E48"/>
          <w:kern w:val="0"/>
          <w:sz w:val="30"/>
          <w:szCs w:val="30"/>
          <w:lang w:eastAsia="en-GB"/>
          <w14:ligatures w14:val="none"/>
        </w:rPr>
        <w:t>Table: risk overview</w:t>
      </w:r>
    </w:p>
    <w:tbl>
      <w:tblPr>
        <w:tblW w:w="72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1"/>
        <w:gridCol w:w="2436"/>
        <w:gridCol w:w="1120"/>
        <w:gridCol w:w="2333"/>
      </w:tblGrid>
      <w:tr w:rsidR="00E141CC" w:rsidRPr="00E141CC" w14:paraId="6D6F20C5" w14:textId="77777777">
        <w:trPr>
          <w:tblHeader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90D4724" w14:textId="77777777" w:rsidR="00E141CC" w:rsidRPr="00E141CC" w:rsidRDefault="00E141CC" w:rsidP="00E141CC">
            <w:pPr>
              <w:spacing w:before="120" w:after="90"/>
              <w:rPr>
                <w:rFonts w:ascii="Times New Roman" w:eastAsia="Times New Roman" w:hAnsi="Times New Roman" w:cs="Times New Roman"/>
                <w:b/>
                <w:bCs/>
                <w:color w:val="555555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555555"/>
                <w:kern w:val="0"/>
                <w:sz w:val="21"/>
                <w:szCs w:val="21"/>
                <w:lang w:eastAsia="en-GB"/>
                <w14:ligatures w14:val="none"/>
              </w:rPr>
              <w:t>Key technical items – example</w:t>
            </w:r>
          </w:p>
        </w:tc>
      </w:tr>
      <w:tr w:rsidR="00E141CC" w:rsidRPr="00E141CC" w14:paraId="664CBE3A" w14:textId="77777777">
        <w:trPr>
          <w:tblHeader/>
        </w:trPr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shd w:val="clear" w:color="auto" w:fill="F5F7F8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B490699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  <w:t>Element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shd w:val="clear" w:color="auto" w:fill="F5F7F8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1B8EFE1E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  <w:t>Issue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shd w:val="clear" w:color="auto" w:fill="F5F7F8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7B772E7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  <w:t>Risk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shd w:val="clear" w:color="auto" w:fill="F5F7F8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33BFF5FD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4D3069"/>
                <w:kern w:val="0"/>
                <w:sz w:val="21"/>
                <w:szCs w:val="21"/>
                <w:lang w:eastAsia="en-GB"/>
                <w14:ligatures w14:val="none"/>
              </w:rPr>
              <w:t>Recommended time frame</w:t>
            </w:r>
          </w:p>
        </w:tc>
      </w:tr>
      <w:tr w:rsidR="00E141CC" w:rsidRPr="00E141CC" w14:paraId="52AA5DE5" w14:textId="77777777"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292AB6AD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Roof covering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6AECB22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Localised damage, nearing end of service life.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AB3D1B5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5"/>
                <w:kern w:val="0"/>
                <w:sz w:val="18"/>
                <w:szCs w:val="18"/>
                <w:shd w:val="clear" w:color="auto" w:fill="C62828"/>
                <w:lang w:eastAsia="en-GB"/>
                <w14:ligatures w14:val="none"/>
              </w:rPr>
              <w:t>HIGH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3F80FE58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Immediate to short term</w:t>
            </w:r>
          </w:p>
        </w:tc>
      </w:tr>
      <w:tr w:rsidR="00E141CC" w:rsidRPr="00E141CC" w14:paraId="5EB567F1" w14:textId="77777777"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CE0F18E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Façade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0C9FCCD9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Minor cracks and localised moisture staining.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98268D6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kern w:val="0"/>
                <w:sz w:val="18"/>
                <w:szCs w:val="18"/>
                <w:shd w:val="clear" w:color="auto" w:fill="F9A825"/>
                <w:lang w:eastAsia="en-GB"/>
                <w14:ligatures w14:val="none"/>
              </w:rPr>
              <w:t>MEDIUM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4AFCC8EF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Within 2–5 years</w:t>
            </w:r>
          </w:p>
        </w:tc>
      </w:tr>
      <w:tr w:rsidR="00E141CC" w:rsidRPr="00E141CC" w14:paraId="4D32F7B5" w14:textId="77777777"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06170B3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Internal finishes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52D6F4C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Wear and cosmetic damage only.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1B13A295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5"/>
                <w:kern w:val="0"/>
                <w:sz w:val="18"/>
                <w:szCs w:val="18"/>
                <w:shd w:val="clear" w:color="auto" w:fill="2E7D32"/>
                <w:lang w:eastAsia="en-GB"/>
                <w14:ligatures w14:val="none"/>
              </w:rPr>
              <w:t>LOW</w:t>
            </w:r>
          </w:p>
        </w:tc>
        <w:tc>
          <w:tcPr>
            <w:tcW w:w="0" w:type="auto"/>
            <w:tcBorders>
              <w:top w:val="single" w:sz="6" w:space="0" w:color="DDE2E6"/>
              <w:left w:val="single" w:sz="6" w:space="0" w:color="DDE2E6"/>
              <w:bottom w:val="single" w:sz="6" w:space="0" w:color="DDE2E6"/>
              <w:right w:val="single" w:sz="6" w:space="0" w:color="DDE2E6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B50FE27" w14:textId="77777777" w:rsidR="00E141CC" w:rsidRPr="00E141CC" w:rsidRDefault="00E141CC" w:rsidP="00E141CC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</w:pPr>
            <w:r w:rsidRPr="00E141CC">
              <w:rPr>
                <w:rFonts w:ascii="Times New Roman" w:eastAsia="Times New Roman" w:hAnsi="Times New Roman" w:cs="Times New Roman"/>
                <w:kern w:val="0"/>
                <w:sz w:val="21"/>
                <w:szCs w:val="21"/>
                <w:lang w:eastAsia="en-GB"/>
                <w14:ligatures w14:val="none"/>
              </w:rPr>
              <w:t>Long term or at next refurbishment</w:t>
            </w:r>
          </w:p>
        </w:tc>
      </w:tr>
    </w:tbl>
    <w:p w14:paraId="3755B6EB" w14:textId="77777777" w:rsidR="00E141CC" w:rsidRPr="00E141CC" w:rsidRDefault="00E141CC" w:rsidP="00E141CC">
      <w:pPr>
        <w:spacing w:before="600" w:after="120"/>
        <w:outlineLvl w:val="1"/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</w:pPr>
      <w:r w:rsidRPr="00E141CC">
        <w:rPr>
          <w:rFonts w:ascii="Source Sans Pro" w:eastAsia="Times New Roman" w:hAnsi="Source Sans Pro" w:cs="Times New Roman"/>
          <w:b/>
          <w:bCs/>
          <w:color w:val="4D3069"/>
          <w:kern w:val="0"/>
          <w:sz w:val="36"/>
          <w:szCs w:val="36"/>
          <w:lang w:eastAsia="en-GB"/>
          <w14:ligatures w14:val="none"/>
        </w:rPr>
        <w:t>Implementation notes for WordPress</w:t>
      </w:r>
    </w:p>
    <w:p w14:paraId="6E5718E1" w14:textId="77777777" w:rsidR="00E141CC" w:rsidRPr="00E141CC" w:rsidRDefault="00E141CC" w:rsidP="00E141C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All styles are defined in the 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&lt;style&gt;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 block in the 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&lt;head&gt;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 In production, move this CSS to the theme’s stylesheet or a custom CSS plugin.</w:t>
      </w:r>
    </w:p>
    <w:p w14:paraId="1E6262D5" w14:textId="77777777" w:rsidR="00E141CC" w:rsidRPr="00E141CC" w:rsidRDefault="00E141CC" w:rsidP="00E141C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The design tokens are set as CSS variables under 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:root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. These can be reused anywhere in the theme (buttons, forms, navigation).</w:t>
      </w:r>
    </w:p>
    <w:p w14:paraId="3F7638DB" w14:textId="77777777" w:rsidR="00E141CC" w:rsidRPr="00E141CC" w:rsidRDefault="00E141CC" w:rsidP="00E141C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Components shown here (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.ddbb-panel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 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.ddbb-btn-primary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 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.ddbb-badge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, </w:t>
      </w:r>
      <w:r w:rsidRPr="00E141CC">
        <w:rPr>
          <w:rFonts w:ascii="Courier New" w:eastAsia="Times New Roman" w:hAnsi="Courier New" w:cs="Courier New"/>
          <w:kern w:val="0"/>
          <w:sz w:val="20"/>
          <w:szCs w:val="20"/>
          <w:shd w:val="clear" w:color="auto" w:fill="F0F2F4"/>
          <w:lang w:eastAsia="en-GB"/>
          <w14:ligatures w14:val="none"/>
        </w:rPr>
        <w:t>.ddbb-table</w:t>
      </w: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) can be used as base classes in blocks, ACF layouts or shortcodes.</w:t>
      </w:r>
    </w:p>
    <w:p w14:paraId="356FFB3B" w14:textId="77777777" w:rsidR="00E141CC" w:rsidRPr="00E141CC" w:rsidRDefault="00E141CC" w:rsidP="00E141C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E141C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Text content is placeholder and can be replaced with Norwegian copy tailored to DDBB.NO (due diligence for used housing).</w:t>
      </w:r>
    </w:p>
    <w:p w14:paraId="0F6386D5" w14:textId="2683C84D" w:rsidR="00FE7B11" w:rsidRDefault="00B22C3B">
      <w:r>
        <w:rPr>
          <w:noProof/>
        </w:rPr>
        <w:object w:dxaOrig="9360" w:dyaOrig="300" w14:anchorId="1AE755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15pt;mso-width-percent:0;mso-height-percent:0;mso-width-percent:0;mso-height-percent:0" o:ole="">
            <v:imagedata r:id="rId5" o:title=""/>
          </v:shape>
          <o:OLEObject Type="Embed" ProgID="Word.Document.12" ShapeID="_x0000_i1025" DrawAspect="Content" ObjectID="_1824700198" r:id="rId6">
            <o:FieldCodes>\s</o:FieldCodes>
          </o:OLEObject>
        </w:object>
      </w:r>
    </w:p>
    <w:sectPr w:rsidR="00FE7B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AE810D7-661C-2A4A-BC02-A4827DE9DF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2D49536-0B9A-8547-ADD6-3F296141CA53}"/>
    <w:embedBold r:id="rId3" w:fontKey="{68DA618B-4B44-5B4B-877B-7D418F0E2C0F}"/>
    <w:embedItalic r:id="rId4" w:fontKey="{01382B8C-2097-554E-AB03-E7774620FF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B7CE363-BB2C-A046-9349-6CC1F5982F6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B18C8B7-E511-A943-8577-5E75DD2C8C9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04003C3-52E2-FC4E-9D2D-C947BD0D7697}"/>
    <w:embedItalic r:id="rId8" w:fontKey="{6A1641A2-4332-AB4C-A76A-0CB33CA0C2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8FC8FDC-6A21-2042-9852-3065596F099D}"/>
    <w:embedItalic r:id="rId10" w:fontKey="{48E04B4E-26AB-7143-94AD-99F52F04600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0C9EA0A3-79DA-CB4C-AD46-A65159151B7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764B7A"/>
    <w:multiLevelType w:val="multilevel"/>
    <w:tmpl w:val="B058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732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0"/>
  <w:embedTrueTypeFonts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4DB"/>
    <w:rsid w:val="0014356D"/>
    <w:rsid w:val="001E0BCC"/>
    <w:rsid w:val="009440E3"/>
    <w:rsid w:val="009F3E88"/>
    <w:rsid w:val="00B22C3B"/>
    <w:rsid w:val="00C245B1"/>
    <w:rsid w:val="00E141CC"/>
    <w:rsid w:val="00E17AB4"/>
    <w:rsid w:val="00F257FA"/>
    <w:rsid w:val="00FB64DB"/>
    <w:rsid w:val="00FE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3236CB"/>
  <w15:chartTrackingRefBased/>
  <w15:docId w15:val="{700BA4A1-C460-B043-820C-9926387CF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64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64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64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64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64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64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64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64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64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64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B64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B64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B64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64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64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64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64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64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64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6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64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64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64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64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64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64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64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64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64D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141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ddbb-label">
    <w:name w:val="ddbb-label"/>
    <w:basedOn w:val="Normal"/>
    <w:rsid w:val="00E141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E141CC"/>
    <w:rPr>
      <w:rFonts w:ascii="Courier New" w:eastAsia="Times New Roman" w:hAnsi="Courier New" w:cs="Courier New"/>
      <w:sz w:val="20"/>
      <w:szCs w:val="20"/>
    </w:rPr>
  </w:style>
  <w:style w:type="character" w:customStyle="1" w:styleId="ddbb-badge">
    <w:name w:val="ddbb-badge"/>
    <w:basedOn w:val="DefaultParagraphFont"/>
    <w:rsid w:val="00E141CC"/>
  </w:style>
  <w:style w:type="character" w:styleId="Hyperlink">
    <w:name w:val="Hyperlink"/>
    <w:basedOn w:val="DefaultParagraphFont"/>
    <w:uiPriority w:val="99"/>
    <w:semiHidden/>
    <w:unhideWhenUsed/>
    <w:rsid w:val="00E141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Morten  Allertsen</dc:creator>
  <cp:keywords/>
  <dc:description/>
  <cp:lastModifiedBy>John Morten  Allertsen</cp:lastModifiedBy>
  <cp:revision>2</cp:revision>
  <dcterms:created xsi:type="dcterms:W3CDTF">2025-09-30T08:34:00Z</dcterms:created>
  <dcterms:modified xsi:type="dcterms:W3CDTF">2025-11-15T07:23:00Z</dcterms:modified>
</cp:coreProperties>
</file>